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9" w:rsidRPr="00334BF3" w:rsidRDefault="00FF1D09" w:rsidP="00FF1D09">
      <w:pPr>
        <w:jc w:val="center"/>
        <w:rPr>
          <w:rFonts w:ascii="Century Gothic" w:hAnsi="Century Gothic"/>
          <w:b/>
          <w:sz w:val="20"/>
          <w:szCs w:val="20"/>
        </w:rPr>
      </w:pPr>
      <w:r w:rsidRPr="00334BF3">
        <w:rPr>
          <w:rFonts w:ascii="Century Gothic" w:hAnsi="Century Gothic"/>
          <w:b/>
          <w:sz w:val="20"/>
          <w:szCs w:val="20"/>
        </w:rPr>
        <w:t xml:space="preserve">Consiglio direttivo </w:t>
      </w:r>
    </w:p>
    <w:p w:rsidR="00FF1D09" w:rsidRPr="00334BF3" w:rsidRDefault="00FF1D09" w:rsidP="00FF1D09">
      <w:pPr>
        <w:jc w:val="center"/>
        <w:rPr>
          <w:rFonts w:ascii="Century Gothic" w:hAnsi="Century Gothic"/>
          <w:b/>
          <w:sz w:val="20"/>
          <w:szCs w:val="20"/>
        </w:rPr>
      </w:pPr>
      <w:r w:rsidRPr="00334BF3">
        <w:rPr>
          <w:rFonts w:ascii="Century Gothic" w:hAnsi="Century Gothic"/>
          <w:b/>
          <w:sz w:val="20"/>
          <w:szCs w:val="20"/>
        </w:rPr>
        <w:t xml:space="preserve">dell’Associazione Musicale </w:t>
      </w:r>
      <w:r w:rsidRPr="00334BF3">
        <w:rPr>
          <w:rFonts w:ascii="Century Gothic" w:hAnsi="Century Gothic"/>
          <w:b/>
          <w:i/>
          <w:sz w:val="20"/>
          <w:szCs w:val="20"/>
        </w:rPr>
        <w:t>Troubar Clair</w:t>
      </w:r>
      <w:r w:rsidRPr="00334BF3">
        <w:rPr>
          <w:rFonts w:ascii="Century Gothic" w:hAnsi="Century Gothic"/>
          <w:b/>
          <w:sz w:val="20"/>
          <w:szCs w:val="20"/>
        </w:rPr>
        <w:t xml:space="preserve"> </w:t>
      </w:r>
    </w:p>
    <w:p w:rsidR="00FF1D09" w:rsidRPr="00334BF3" w:rsidRDefault="00FF1D09" w:rsidP="00FF1D09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Verbale n. 75 – 26</w:t>
      </w:r>
      <w:r w:rsidRPr="00334BF3">
        <w:rPr>
          <w:rFonts w:ascii="Century Gothic" w:hAnsi="Century Gothic"/>
          <w:b/>
          <w:sz w:val="20"/>
          <w:szCs w:val="20"/>
        </w:rPr>
        <w:t>/4/16</w:t>
      </w:r>
    </w:p>
    <w:p w:rsidR="00FF1D09" w:rsidRPr="00334BF3" w:rsidRDefault="00FF1D09" w:rsidP="00FF1D09">
      <w:pPr>
        <w:pBdr>
          <w:bottom w:val="single" w:sz="12" w:space="1" w:color="auto"/>
        </w:pBdr>
        <w:jc w:val="center"/>
        <w:rPr>
          <w:rFonts w:ascii="Century Gothic" w:hAnsi="Century Gothic"/>
          <w:b/>
          <w:i/>
          <w:sz w:val="20"/>
          <w:szCs w:val="20"/>
        </w:rPr>
      </w:pPr>
    </w:p>
    <w:p w:rsidR="00FF1D09" w:rsidRPr="00334BF3" w:rsidRDefault="00FF1D09" w:rsidP="00FF1D09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FF1D09" w:rsidRPr="00334BF3" w:rsidRDefault="00FF1D09" w:rsidP="00FF1D0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Martedì 26</w:t>
      </w:r>
      <w:r w:rsidRPr="00334BF3">
        <w:rPr>
          <w:rFonts w:ascii="Century Gothic" w:hAnsi="Century Gothic"/>
          <w:sz w:val="20"/>
          <w:szCs w:val="20"/>
        </w:rPr>
        <w:t xml:space="preserve"> aprile 2016, alle ore 21, presso i locali del Seminario Vescovile di Bordighera, si riunisce il consiglio direttivo dell’associazione.</w:t>
      </w:r>
    </w:p>
    <w:p w:rsidR="00FF1D09" w:rsidRPr="00334BF3" w:rsidRDefault="00FF1D09" w:rsidP="00FF1D09">
      <w:pPr>
        <w:jc w:val="both"/>
        <w:rPr>
          <w:rFonts w:ascii="Century Gothic" w:hAnsi="Century Gothic"/>
          <w:sz w:val="20"/>
          <w:szCs w:val="20"/>
        </w:rPr>
      </w:pPr>
      <w:r w:rsidRPr="00334BF3">
        <w:rPr>
          <w:rFonts w:ascii="Century Gothic" w:hAnsi="Century Gothic"/>
          <w:sz w:val="20"/>
          <w:szCs w:val="20"/>
        </w:rPr>
        <w:t>Sono presenti tutti i suoi componenti:</w:t>
      </w:r>
    </w:p>
    <w:p w:rsidR="00FF1D09" w:rsidRPr="00334BF3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334BF3">
        <w:rPr>
          <w:rFonts w:ascii="Century Gothic" w:hAnsi="Century Gothic"/>
          <w:sz w:val="20"/>
          <w:szCs w:val="20"/>
        </w:rPr>
        <w:t>Antonio Gatto – presidente</w:t>
      </w:r>
    </w:p>
    <w:p w:rsidR="00FF1D09" w:rsidRPr="00334BF3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334BF3">
        <w:rPr>
          <w:rFonts w:ascii="Century Gothic" w:hAnsi="Century Gothic"/>
          <w:sz w:val="20"/>
          <w:szCs w:val="20"/>
        </w:rPr>
        <w:t>Mario Molinari – vicepresidente</w:t>
      </w:r>
    </w:p>
    <w:p w:rsidR="00FF1D09" w:rsidRPr="00334BF3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334BF3">
        <w:rPr>
          <w:rFonts w:ascii="Century Gothic" w:hAnsi="Century Gothic"/>
          <w:sz w:val="20"/>
          <w:szCs w:val="20"/>
        </w:rPr>
        <w:t>Cristina Orvieto – direttore artistico</w:t>
      </w:r>
    </w:p>
    <w:p w:rsidR="00FF1D09" w:rsidRPr="00334BF3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334BF3">
        <w:rPr>
          <w:rFonts w:ascii="Century Gothic" w:hAnsi="Century Gothic"/>
          <w:sz w:val="20"/>
          <w:szCs w:val="20"/>
        </w:rPr>
        <w:t>Gina Necco – tesoriera</w:t>
      </w:r>
    </w:p>
    <w:p w:rsidR="00FF1D09" w:rsidRPr="00334BF3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334BF3">
        <w:rPr>
          <w:rFonts w:ascii="Century Gothic" w:hAnsi="Century Gothic"/>
          <w:sz w:val="20"/>
          <w:szCs w:val="20"/>
        </w:rPr>
        <w:t>Luciana Lamberti – segretaria</w:t>
      </w:r>
    </w:p>
    <w:p w:rsidR="00FF1D09" w:rsidRPr="00334BF3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334BF3">
        <w:rPr>
          <w:rFonts w:ascii="Century Gothic" w:hAnsi="Century Gothic"/>
          <w:sz w:val="20"/>
          <w:szCs w:val="20"/>
        </w:rPr>
        <w:t>Laura Ferrari – consigliera</w:t>
      </w:r>
    </w:p>
    <w:p w:rsidR="00FF1D09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Michela Vaiuso</w:t>
      </w:r>
      <w:r w:rsidRPr="00334BF3">
        <w:rPr>
          <w:rFonts w:ascii="Century Gothic" w:hAnsi="Century Gothic"/>
          <w:sz w:val="20"/>
          <w:szCs w:val="20"/>
        </w:rPr>
        <w:t xml:space="preserve"> – consigliera</w:t>
      </w:r>
    </w:p>
    <w:p w:rsidR="009F2F7A" w:rsidRDefault="009F2F7A" w:rsidP="00FF1D0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O.d.G:</w:t>
      </w:r>
    </w:p>
    <w:p w:rsidR="009F2F7A" w:rsidRPr="009F2F7A" w:rsidRDefault="009F2F7A" w:rsidP="009F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 w:rsidRPr="009F2F7A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            lettura verbale consiglio precedente</w:t>
      </w:r>
    </w:p>
    <w:p w:rsidR="009F2F7A" w:rsidRPr="009F2F7A" w:rsidRDefault="009F2F7A" w:rsidP="009F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 w:rsidRPr="009F2F7A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            dimissioni della consigliera </w:t>
      </w:r>
      <w:r w:rsidRPr="009F2F7A">
        <w:rPr>
          <w:rFonts w:ascii="Century Gothic" w:eastAsia="Times New Roman" w:hAnsi="Century Gothic" w:cs="Arial"/>
          <w:b/>
          <w:bCs/>
          <w:color w:val="222222"/>
          <w:sz w:val="19"/>
          <w:szCs w:val="19"/>
          <w:lang w:eastAsia="it-IT"/>
        </w:rPr>
        <w:t>Camilla Dioli</w:t>
      </w:r>
    </w:p>
    <w:p w:rsidR="009F2F7A" w:rsidRPr="009F2F7A" w:rsidRDefault="009F2F7A" w:rsidP="009F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 w:rsidRPr="009F2F7A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            subentro della nuova consigliera </w:t>
      </w:r>
      <w:r w:rsidRPr="009F2F7A">
        <w:rPr>
          <w:rFonts w:ascii="Century Gothic" w:eastAsia="Times New Roman" w:hAnsi="Century Gothic" w:cs="Arial"/>
          <w:b/>
          <w:bCs/>
          <w:color w:val="222222"/>
          <w:sz w:val="19"/>
          <w:szCs w:val="19"/>
          <w:lang w:eastAsia="it-IT"/>
        </w:rPr>
        <w:t>Michela Vaiuso </w:t>
      </w:r>
      <w:r w:rsidRPr="009F2F7A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(prima dei non eletti)</w:t>
      </w:r>
    </w:p>
    <w:p w:rsidR="009F2F7A" w:rsidRPr="009F2F7A" w:rsidRDefault="009F2F7A" w:rsidP="009F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 w:rsidRPr="009F2F7A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            concerto coro portoghese inverno 2017</w:t>
      </w:r>
    </w:p>
    <w:p w:rsidR="009F2F7A" w:rsidRPr="009F2F7A" w:rsidRDefault="009F2F7A" w:rsidP="009F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 w:rsidRPr="009F2F7A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            stage Perinaldo e festa del trentesimo: aggiornamenti</w:t>
      </w:r>
    </w:p>
    <w:p w:rsidR="009F2F7A" w:rsidRPr="009F2F7A" w:rsidRDefault="009F2F7A" w:rsidP="009F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 w:rsidRPr="009F2F7A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            relazione e rimborsi concerto a Le Cannet del 17 Aprile scorso</w:t>
      </w:r>
    </w:p>
    <w:p w:rsidR="0011362E" w:rsidRDefault="0011362E" w:rsidP="0011362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Il presidente chiede che vengano aggiunti all’ordine del giorno i seguenti punti:</w:t>
      </w:r>
    </w:p>
    <w:p w:rsidR="0011362E" w:rsidRDefault="0011362E" w:rsidP="0011362E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 w:rsidRPr="0011362E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Richiesta di Maria Buelli</w:t>
      </w:r>
    </w:p>
    <w:p w:rsidR="0011362E" w:rsidRDefault="0011362E" w:rsidP="0011362E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Partecipazione al Concertorto</w:t>
      </w:r>
    </w:p>
    <w:p w:rsidR="0011362E" w:rsidRDefault="0011362E" w:rsidP="0011362E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Rassegna Tripodi</w:t>
      </w:r>
    </w:p>
    <w:p w:rsidR="0011362E" w:rsidRPr="0011362E" w:rsidRDefault="0011362E" w:rsidP="0011362E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Varie ed eventuali</w:t>
      </w:r>
    </w:p>
    <w:p w:rsidR="009F2F7A" w:rsidRDefault="009F2F7A" w:rsidP="009F2F7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Si apre la discussione.</w:t>
      </w:r>
    </w:p>
    <w:p w:rsidR="009F2F7A" w:rsidRDefault="009F2F7A" w:rsidP="009F2F7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Viene letto ed approvato il verbale della seduta precedente.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9F2F7A" w:rsidRDefault="009F2F7A" w:rsidP="009F2F7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 w:rsidRPr="009F2F7A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Si accettano le dimissioni che la consigliera Camilla Dioli ha inviato per mail (</w:t>
      </w:r>
      <w:r w:rsidR="00A62CB6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allegato n.1)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9F2F7A" w:rsidRDefault="009F2F7A" w:rsidP="009F2F7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Viene accolta Michela Vaiuso che subentra quale prima dei non eletti.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A37AA0" w:rsidRDefault="009F2F7A" w:rsidP="00A37AA0">
      <w:pPr>
        <w:pStyle w:val="Nessunaspaziatura"/>
        <w:rPr>
          <w:rFonts w:ascii="Century Gothic" w:hAnsi="Century Gothic"/>
          <w:sz w:val="20"/>
          <w:szCs w:val="20"/>
        </w:rPr>
      </w:pPr>
      <w:r w:rsidRPr="00303D85">
        <w:rPr>
          <w:rFonts w:ascii="Century Gothic" w:hAnsi="Century Gothic"/>
          <w:sz w:val="20"/>
          <w:szCs w:val="20"/>
        </w:rPr>
        <w:t xml:space="preserve">Per quanto riguarda il concerto che dovremmo organizzare per  il coro </w:t>
      </w:r>
      <w:r w:rsidR="00DC2794" w:rsidRPr="00303D85">
        <w:rPr>
          <w:rFonts w:ascii="Century Gothic" w:hAnsi="Century Gothic"/>
          <w:sz w:val="20"/>
          <w:szCs w:val="20"/>
        </w:rPr>
        <w:t xml:space="preserve">sinfonico </w:t>
      </w:r>
      <w:r w:rsidRPr="00303D85">
        <w:rPr>
          <w:rFonts w:ascii="Century Gothic" w:hAnsi="Century Gothic"/>
          <w:sz w:val="20"/>
          <w:szCs w:val="20"/>
        </w:rPr>
        <w:t>portoghese</w:t>
      </w:r>
      <w:r w:rsidR="00DC2794" w:rsidRPr="00303D85">
        <w:rPr>
          <w:rFonts w:ascii="Century Gothic" w:hAnsi="Century Gothic"/>
          <w:sz w:val="20"/>
          <w:szCs w:val="20"/>
        </w:rPr>
        <w:t xml:space="preserve"> Ines de Castro</w:t>
      </w:r>
      <w:r w:rsidRPr="00303D85">
        <w:rPr>
          <w:rFonts w:ascii="Century Gothic" w:hAnsi="Century Gothic"/>
          <w:sz w:val="20"/>
          <w:szCs w:val="20"/>
        </w:rPr>
        <w:t xml:space="preserve"> nell’inverno 2017, dobbiamo ri</w:t>
      </w:r>
      <w:r w:rsidR="00DC2794" w:rsidRPr="00303D85">
        <w:rPr>
          <w:rFonts w:ascii="Century Gothic" w:hAnsi="Century Gothic"/>
          <w:sz w:val="20"/>
          <w:szCs w:val="20"/>
        </w:rPr>
        <w:t xml:space="preserve">solvere il problema di fornire </w:t>
      </w:r>
      <w:r w:rsidRPr="00303D85">
        <w:rPr>
          <w:rFonts w:ascii="Century Gothic" w:hAnsi="Century Gothic"/>
          <w:sz w:val="20"/>
          <w:szCs w:val="20"/>
        </w:rPr>
        <w:t xml:space="preserve"> questo coro </w:t>
      </w:r>
      <w:r w:rsidR="00DC2794" w:rsidRPr="00303D85">
        <w:rPr>
          <w:rFonts w:ascii="Century Gothic" w:hAnsi="Century Gothic"/>
          <w:sz w:val="20"/>
          <w:szCs w:val="20"/>
        </w:rPr>
        <w:t xml:space="preserve">di </w:t>
      </w:r>
      <w:r w:rsidRPr="00303D85">
        <w:rPr>
          <w:rFonts w:ascii="Century Gothic" w:hAnsi="Century Gothic"/>
          <w:sz w:val="20"/>
          <w:szCs w:val="20"/>
        </w:rPr>
        <w:t>un’</w:t>
      </w:r>
      <w:r w:rsidR="00DC2794" w:rsidRPr="00303D85">
        <w:rPr>
          <w:rFonts w:ascii="Century Gothic" w:hAnsi="Century Gothic"/>
          <w:sz w:val="20"/>
          <w:szCs w:val="20"/>
        </w:rPr>
        <w:t>orchestra che lo</w:t>
      </w:r>
      <w:r w:rsidRPr="00303D85">
        <w:rPr>
          <w:rFonts w:ascii="Century Gothic" w:hAnsi="Century Gothic"/>
          <w:sz w:val="20"/>
          <w:szCs w:val="20"/>
        </w:rPr>
        <w:t xml:space="preserve"> accompagni in uno dei repertori che ci hanno indicato</w:t>
      </w:r>
      <w:r w:rsidR="00DC2794" w:rsidRPr="00303D85">
        <w:rPr>
          <w:rFonts w:ascii="Century Gothic" w:hAnsi="Century Gothic"/>
          <w:sz w:val="20"/>
          <w:szCs w:val="20"/>
        </w:rPr>
        <w:t xml:space="preserve"> e cioè: </w:t>
      </w:r>
    </w:p>
    <w:p w:rsidR="00D92F58" w:rsidRDefault="00D92F58" w:rsidP="00A37AA0">
      <w:pPr>
        <w:pStyle w:val="Nessunaspaziatura"/>
        <w:rPr>
          <w:rFonts w:ascii="Century Gothic" w:hAnsi="Century Gothic"/>
          <w:sz w:val="20"/>
          <w:szCs w:val="20"/>
        </w:rPr>
      </w:pPr>
    </w:p>
    <w:p w:rsidR="00D92F58" w:rsidRDefault="00D92F58" w:rsidP="00A37AA0">
      <w:pPr>
        <w:pStyle w:val="Nessunaspaziatura"/>
        <w:rPr>
          <w:rFonts w:ascii="Century Gothic" w:hAnsi="Century Gothic"/>
          <w:sz w:val="20"/>
          <w:szCs w:val="20"/>
        </w:rPr>
      </w:pPr>
    </w:p>
    <w:p w:rsidR="00D92F58" w:rsidRDefault="00D92F58" w:rsidP="00A37AA0">
      <w:pPr>
        <w:pStyle w:val="Nessunaspaziatura"/>
        <w:rPr>
          <w:rFonts w:ascii="Century Gothic" w:hAnsi="Century Gothic"/>
          <w:sz w:val="20"/>
          <w:szCs w:val="20"/>
        </w:rPr>
      </w:pPr>
    </w:p>
    <w:p w:rsidR="00D92F58" w:rsidRPr="00303D85" w:rsidRDefault="00D92F58" w:rsidP="00A37AA0">
      <w:pPr>
        <w:pStyle w:val="Nessunaspaziatura"/>
        <w:rPr>
          <w:rFonts w:ascii="Century Gothic" w:hAnsi="Century Gothic"/>
          <w:sz w:val="20"/>
          <w:szCs w:val="20"/>
        </w:rPr>
      </w:pPr>
    </w:p>
    <w:p w:rsidR="00A37AA0" w:rsidRPr="00A37AA0" w:rsidRDefault="00A37AA0" w:rsidP="00A37AA0">
      <w:pPr>
        <w:pStyle w:val="Nessunaspaziatura"/>
        <w:rPr>
          <w:rFonts w:ascii="Century Gothic" w:hAnsi="Century Gothic"/>
          <w:sz w:val="20"/>
          <w:szCs w:val="20"/>
          <w:lang w:eastAsia="it-IT"/>
        </w:rPr>
      </w:pPr>
      <w:r w:rsidRPr="00A37AA0">
        <w:rPr>
          <w:rFonts w:ascii="Century Gothic" w:hAnsi="Century Gothic"/>
          <w:sz w:val="20"/>
          <w:szCs w:val="20"/>
          <w:lang w:eastAsia="it-IT"/>
        </w:rPr>
        <w:lastRenderedPageBreak/>
        <w:t>J. S. BACH: Oratorio di Natale BWV 248 (nella sintesi di John Eliot Gardiner)</w:t>
      </w:r>
    </w:p>
    <w:p w:rsidR="00A37AA0" w:rsidRPr="00A37AA0" w:rsidRDefault="00A37AA0" w:rsidP="00A37AA0">
      <w:pPr>
        <w:pStyle w:val="Nessunaspaziatura"/>
        <w:rPr>
          <w:rFonts w:ascii="Century Gothic" w:hAnsi="Century Gothic"/>
          <w:sz w:val="20"/>
          <w:szCs w:val="20"/>
          <w:lang w:val="en-US" w:eastAsia="it-IT"/>
        </w:rPr>
      </w:pPr>
      <w:r w:rsidRPr="00A37AA0">
        <w:rPr>
          <w:rFonts w:ascii="Century Gothic" w:hAnsi="Century Gothic"/>
          <w:sz w:val="20"/>
          <w:szCs w:val="20"/>
          <w:lang w:val="en-US" w:eastAsia="it-IT"/>
        </w:rPr>
        <w:t>W. A. MOZART: Requiem K 626</w:t>
      </w:r>
    </w:p>
    <w:p w:rsidR="00A37AA0" w:rsidRPr="00A37AA0" w:rsidRDefault="00A37AA0" w:rsidP="00A37AA0">
      <w:pPr>
        <w:pStyle w:val="Nessunaspaziatura"/>
        <w:rPr>
          <w:rFonts w:ascii="Century Gothic" w:hAnsi="Century Gothic"/>
          <w:sz w:val="20"/>
          <w:szCs w:val="20"/>
          <w:lang w:val="en-US" w:eastAsia="it-IT"/>
        </w:rPr>
      </w:pPr>
      <w:r w:rsidRPr="00A37AA0">
        <w:rPr>
          <w:rFonts w:ascii="Century Gothic" w:hAnsi="Century Gothic"/>
          <w:sz w:val="20"/>
          <w:szCs w:val="20"/>
          <w:lang w:val="en-US" w:eastAsia="it-IT"/>
        </w:rPr>
        <w:t>J. BRAHMS: Ein deutsches Requiem</w:t>
      </w:r>
    </w:p>
    <w:p w:rsidR="00A37AA0" w:rsidRPr="00A37AA0" w:rsidRDefault="00A37AA0" w:rsidP="00A37AA0">
      <w:pPr>
        <w:pStyle w:val="Nessunaspaziatura"/>
        <w:rPr>
          <w:rFonts w:ascii="Century Gothic" w:hAnsi="Century Gothic"/>
          <w:sz w:val="20"/>
          <w:szCs w:val="20"/>
          <w:lang w:val="en-US" w:eastAsia="it-IT"/>
        </w:rPr>
      </w:pPr>
      <w:r w:rsidRPr="00A37AA0">
        <w:rPr>
          <w:rFonts w:ascii="Century Gothic" w:hAnsi="Century Gothic"/>
          <w:sz w:val="20"/>
          <w:szCs w:val="20"/>
          <w:lang w:val="en-US" w:eastAsia="it-IT"/>
        </w:rPr>
        <w:t>PEDRO MACEDO CAMACHO (1979): Requiem de Inês de Castro</w:t>
      </w:r>
    </w:p>
    <w:p w:rsidR="009F2F7A" w:rsidRPr="00A37AA0" w:rsidRDefault="009F2F7A" w:rsidP="009F2F7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val="en-US" w:eastAsia="it-IT"/>
        </w:rPr>
      </w:pPr>
    </w:p>
    <w:p w:rsidR="00DC2794" w:rsidRDefault="00DC2794" w:rsidP="00DC2794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Cristina relaziona in merito alle conversazioni che ha avuto con Alberto Sismondini, socio nostro e del coro portoghese.</w:t>
      </w:r>
    </w:p>
    <w:p w:rsidR="00DC2794" w:rsidRDefault="00DC2794" w:rsidP="00DC2794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Si decide che Cristina e Mario chied</w:t>
      </w:r>
      <w:r w:rsidR="00EA63A6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ano</w:t>
      </w: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 la disponibilità e le condizioni dell’Orchestra Sinfonica di Sanremo e dell’Orchestra Sinfonica di Bordighera inviando la proposta al </w:t>
      </w:r>
      <w:r w:rsidR="00BB70DB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direttore artistico.</w:t>
      </w:r>
    </w:p>
    <w:p w:rsidR="00DC2794" w:rsidRDefault="00DC2794" w:rsidP="00DC2794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Nel caso in cui questo tentativo non vada a buon fine si ipotizza un coinvolgimento dell’orchestra Note Libere, benché sia un progetto molto ambizioso sia per la compagine strumentale che per le nostra forze vocali</w:t>
      </w:r>
      <w:r w:rsidR="00EA63A6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: si presenterebbe di nuovo la necessità di aprire ad altri coristi la partecipazione a questo nuovo progetto.</w:t>
      </w:r>
    </w:p>
    <w:p w:rsidR="00EA63A6" w:rsidRDefault="00EA63A6" w:rsidP="00DC2794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Si decide di accantonare una cifra da utilizzare per il coro portoghese, tenuto conto che noi siamo stati ospitati con un contributo da parte loro di 3000 euro.</w:t>
      </w:r>
    </w:p>
    <w:p w:rsidR="00A62CB6" w:rsidRDefault="00A62CB6" w:rsidP="00DC2794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EA63A6" w:rsidRDefault="00EA63A6" w:rsidP="00EA63A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In merito al trentennale il presidente inoltrerà a breve una richiesta di contributo alla Regione per l’ammontare </w:t>
      </w:r>
      <w:r w:rsidRPr="00197CA9">
        <w:rPr>
          <w:rFonts w:ascii="Century Gothic" w:eastAsia="Times New Roman" w:hAnsi="Century Gothic" w:cs="Arial"/>
          <w:sz w:val="19"/>
          <w:szCs w:val="19"/>
          <w:lang w:eastAsia="it-IT"/>
        </w:rPr>
        <w:t xml:space="preserve">di  </w:t>
      </w:r>
      <w:r w:rsidR="00197CA9" w:rsidRPr="00197CA9">
        <w:rPr>
          <w:rFonts w:ascii="Century Gothic" w:hAnsi="Century Gothic" w:cs="Arial"/>
          <w:bCs/>
          <w:sz w:val="19"/>
          <w:szCs w:val="19"/>
        </w:rPr>
        <w:t>5.950</w:t>
      </w:r>
      <w:r w:rsidR="00197CA9">
        <w:rPr>
          <w:rFonts w:ascii="Century Gothic" w:hAnsi="Century Gothic" w:cs="Arial"/>
          <w:bCs/>
          <w:sz w:val="19"/>
          <w:szCs w:val="19"/>
        </w:rPr>
        <w:t xml:space="preserve"> </w:t>
      </w:r>
      <w:r w:rsidRPr="00197CA9">
        <w:rPr>
          <w:rFonts w:ascii="Century Gothic" w:eastAsia="Times New Roman" w:hAnsi="Century Gothic" w:cs="Arial"/>
          <w:sz w:val="19"/>
          <w:szCs w:val="19"/>
          <w:lang w:eastAsia="it-IT"/>
        </w:rPr>
        <w:t>euro</w:t>
      </w:r>
      <w:r w:rsidR="00373AFC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, che dovrebbe coprire le spese dello stage di Perinaldo, la festa e la pubblicazione di una libro, quale aggiornamento ai precedenti pubblicati per il quindicinale e il ventennale, che saranno curati da Luciana Lamberti e da Franco Faraldi, se accetterà di rendersi disponibile.</w:t>
      </w:r>
    </w:p>
    <w:p w:rsidR="00373AFC" w:rsidRDefault="00373AFC" w:rsidP="00373AFC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Altre idee stanno facendosi avanti, quali un breve filmato o la creazione di magliette ricordo.</w:t>
      </w:r>
    </w:p>
    <w:p w:rsidR="00A62CB6" w:rsidRDefault="00A62CB6" w:rsidP="00373AFC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373AFC" w:rsidRDefault="00373AFC" w:rsidP="00373AFC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Si delibera di </w:t>
      </w:r>
      <w:r w:rsidR="00B67960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utilizzare 250 euro dei</w:t>
      </w: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 500 euro di cachet ottenuti con la partecipazione al concerto di Le Cannet </w:t>
      </w:r>
      <w:r w:rsidR="00B67960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per rimborso </w:t>
      </w:r>
      <w:r w:rsidR="00AC524B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chilometrico alle </w:t>
      </w: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 Note Libere.</w:t>
      </w:r>
    </w:p>
    <w:p w:rsidR="00373AFC" w:rsidRDefault="00373AFC" w:rsidP="00373AFC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Diciotto sono le vetture dei cantanti e musicisti che hanno partecipato alla trasferta e che saranno rimborsati, dietro compilazione di una richiesta apposita, dei 20 euro concordati per vettura.</w:t>
      </w:r>
    </w:p>
    <w:p w:rsidR="00A62CB6" w:rsidRDefault="00A62CB6" w:rsidP="00373AFC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11362E" w:rsidRDefault="0011362E" w:rsidP="0011362E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 w:rsidRPr="0011362E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La nostra socia ed amica Maria Buelli è gravemente ammalata e ha chiesto la nostra partecipazione per un piccolo CD che vorrebbe preparare quale suo ricordo. I brani che ha chiesto sono stati già registrati e </w:t>
      </w:r>
      <w:r w:rsidR="000701EB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sabato  30 </w:t>
      </w:r>
      <w:r w:rsidR="00313C9E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aprile</w:t>
      </w:r>
      <w:r w:rsidRPr="0011362E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, in occasione di un concerto della Compagnia dell’Uovo, si potrebbe registrare anche l’ultimo. Si valuterà la qualità tecnica ed artistica di queste registrazioni.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11362E" w:rsidRDefault="0011362E" w:rsidP="0011362E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Per ragioni di copertura assicurativa, Mario Molinari propone che </w:t>
      </w:r>
      <w:r w:rsidR="00185534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i</w:t>
      </w: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l coro scolastico da lui diretto in occasione della rassegna corale Tripodi dei primi di giugno compaia come “</w:t>
      </w:r>
      <w:r w:rsidR="00A62CB6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Piccolo Coro del Troubar Clair”, soprattut</w:t>
      </w:r>
      <w:r w:rsidR="00185534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to per quanto riguarda la freque</w:t>
      </w:r>
      <w:r w:rsidR="00A62CB6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nza allo stage che precede il concerto. Si chiederà ai genitori l’iscrizione dei figli alla manifestazione con la dicitura “pa</w:t>
      </w:r>
      <w:r w:rsidR="008F77FC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rtecipazione ad attività </w:t>
      </w:r>
      <w:r w:rsidR="00A62CB6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organizzate dall’Associazione Musicale Troubar Clair”</w:t>
      </w:r>
      <w:r w:rsidR="00892E3C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. In questo modo benefic</w:t>
      </w:r>
      <w:r w:rsidR="00A62CB6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eranno della nostra assicurazione pur non essendone soci.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VARIE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- Liliana Errera ci propone la partecipazione ad un festival corale a Bologna, al quale non </w:t>
      </w:r>
      <w:r w:rsidR="00224715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si </w:t>
      </w: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pensa però di riuscire a partecipare, almeno quest’anno.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- Si cercheranno delle occasioni per cantare in concerto il programma Par  Cœur, anche per permettere ai nuovi coristi di coronare il loro impegno con l’esperienza di un’esibizione.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- Si indice il prossimo direttivo pe</w:t>
      </w:r>
      <w:r w:rsidR="00CB7E39"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r martedì 17</w:t>
      </w: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 xml:space="preserve"> maggio, sempre al seminario.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La seduta si chiude alle 23.30</w:t>
      </w: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A62CB6" w:rsidRDefault="00A62CB6" w:rsidP="00A62CB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Il presidente Antonio Gatto</w:t>
      </w:r>
    </w:p>
    <w:p w:rsidR="0011362E" w:rsidRPr="0011362E" w:rsidRDefault="00A62CB6" w:rsidP="00D92F58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  <w:t>La segretaria Luciana Lamberti</w:t>
      </w:r>
      <w:bookmarkStart w:id="0" w:name="_GoBack"/>
      <w:bookmarkEnd w:id="0"/>
    </w:p>
    <w:p w:rsidR="00373AFC" w:rsidRPr="009F2F7A" w:rsidRDefault="00373AFC" w:rsidP="00373AFC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it-IT"/>
        </w:rPr>
      </w:pPr>
    </w:p>
    <w:p w:rsidR="009F2F7A" w:rsidRPr="00334BF3" w:rsidRDefault="009F2F7A" w:rsidP="00FF1D09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72AF7" w:rsidRDefault="00A72AF7"/>
    <w:sectPr w:rsidR="00A72AF7" w:rsidSect="00531610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5C4"/>
    <w:multiLevelType w:val="multilevel"/>
    <w:tmpl w:val="9C9E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D460B"/>
    <w:multiLevelType w:val="hybridMultilevel"/>
    <w:tmpl w:val="E6E6B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F1D09"/>
    <w:rsid w:val="000701EB"/>
    <w:rsid w:val="0011362E"/>
    <w:rsid w:val="00185534"/>
    <w:rsid w:val="00197CA9"/>
    <w:rsid w:val="00224715"/>
    <w:rsid w:val="00303D85"/>
    <w:rsid w:val="00313C9E"/>
    <w:rsid w:val="00373AFC"/>
    <w:rsid w:val="004C7E1D"/>
    <w:rsid w:val="00531610"/>
    <w:rsid w:val="0057408F"/>
    <w:rsid w:val="00892E3C"/>
    <w:rsid w:val="008F77FC"/>
    <w:rsid w:val="009F2F7A"/>
    <w:rsid w:val="00A37AA0"/>
    <w:rsid w:val="00A62CB6"/>
    <w:rsid w:val="00A72AF7"/>
    <w:rsid w:val="00AC524B"/>
    <w:rsid w:val="00B16451"/>
    <w:rsid w:val="00B67960"/>
    <w:rsid w:val="00BB70DB"/>
    <w:rsid w:val="00CB7E39"/>
    <w:rsid w:val="00D92F58"/>
    <w:rsid w:val="00DC2794"/>
    <w:rsid w:val="00EA63A6"/>
    <w:rsid w:val="00FF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F7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3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37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F7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3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37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</dc:creator>
  <cp:lastModifiedBy>User</cp:lastModifiedBy>
  <cp:revision>2</cp:revision>
  <cp:lastPrinted>2016-04-29T19:20:00Z</cp:lastPrinted>
  <dcterms:created xsi:type="dcterms:W3CDTF">2016-05-18T08:49:00Z</dcterms:created>
  <dcterms:modified xsi:type="dcterms:W3CDTF">2016-05-18T08:49:00Z</dcterms:modified>
</cp:coreProperties>
</file>